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FFDD" w14:textId="72FFFD45" w:rsidR="00DA4933" w:rsidRPr="00A112FA" w:rsidRDefault="00EB5E30" w:rsidP="00A112FA">
      <w:pPr>
        <w:widowControl/>
        <w:tabs>
          <w:tab w:val="left" w:pos="7560"/>
        </w:tabs>
        <w:ind w:right="-1109"/>
        <w:rPr>
          <w:szCs w:val="22"/>
          <w:lang w:val="es-MX"/>
        </w:rPr>
      </w:pPr>
      <w:r>
        <w:rPr>
          <w:noProof/>
          <w:szCs w:val="22"/>
          <w:lang w:val="es-MX"/>
        </w:rPr>
        <w:object w:dxaOrig="1440" w:dyaOrig="1440" w14:anchorId="692FA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00.6pt;margin-top:-50.25pt;width:320.05pt;height:28.05pt;z-index:251658240;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6" DrawAspect="Content" ObjectID="_1698130862" r:id="rId9"/>
        </w:object>
      </w:r>
      <w:r w:rsidR="001E3184" w:rsidRPr="00A112FA">
        <w:rPr>
          <w:szCs w:val="22"/>
          <w:lang w:val="es-MX"/>
        </w:rPr>
        <w:t>QUINCUAGÉSIMO PRIMER PERÍODO ORDINARIO DE SESIONES</w:t>
      </w:r>
      <w:r w:rsidR="001E3184" w:rsidRPr="00A112FA">
        <w:rPr>
          <w:szCs w:val="22"/>
          <w:lang w:val="es-MX"/>
        </w:rPr>
        <w:tab/>
      </w:r>
      <w:r w:rsidR="001E3184" w:rsidRPr="00A112FA">
        <w:rPr>
          <w:szCs w:val="22"/>
          <w:lang w:val="es-MX"/>
        </w:rPr>
        <w:tab/>
        <w:t>OEA/Ser.P</w:t>
      </w:r>
    </w:p>
    <w:p w14:paraId="3811B8CC" w14:textId="343A1152" w:rsidR="00DA4933" w:rsidRPr="00A112FA" w:rsidRDefault="00DA4933" w:rsidP="00A112FA">
      <w:pPr>
        <w:widowControl/>
        <w:tabs>
          <w:tab w:val="center" w:pos="2160"/>
          <w:tab w:val="left" w:pos="7560"/>
        </w:tabs>
        <w:ind w:right="-1469"/>
        <w:jc w:val="left"/>
        <w:rPr>
          <w:szCs w:val="22"/>
          <w:lang w:val="es-MX"/>
        </w:rPr>
      </w:pPr>
      <w:r w:rsidRPr="00A112FA">
        <w:rPr>
          <w:szCs w:val="22"/>
          <w:lang w:val="es-MX"/>
        </w:rPr>
        <w:t>Del 10 al 12 de noviembre de 2021</w:t>
      </w:r>
      <w:r w:rsidRPr="00A112FA">
        <w:rPr>
          <w:szCs w:val="22"/>
          <w:lang w:val="es-MX"/>
        </w:rPr>
        <w:tab/>
      </w:r>
      <w:r w:rsidR="00625E93" w:rsidRPr="00A112FA">
        <w:rPr>
          <w:szCs w:val="22"/>
          <w:lang w:val="es-MX"/>
        </w:rPr>
        <w:tab/>
      </w:r>
      <w:r w:rsidR="00625E93" w:rsidRPr="00A112FA">
        <w:rPr>
          <w:szCs w:val="22"/>
          <w:lang w:val="es-MX"/>
        </w:rPr>
        <w:tab/>
      </w:r>
      <w:r w:rsidR="00625E93" w:rsidRPr="00A112FA">
        <w:rPr>
          <w:szCs w:val="22"/>
          <w:lang w:val="es-MX"/>
        </w:rPr>
        <w:tab/>
      </w:r>
      <w:r w:rsidR="00625E93" w:rsidRPr="00A112FA">
        <w:rPr>
          <w:szCs w:val="22"/>
          <w:lang w:val="es-MX"/>
        </w:rPr>
        <w:tab/>
      </w:r>
      <w:r w:rsidRPr="00A112FA">
        <w:rPr>
          <w:szCs w:val="22"/>
          <w:lang w:val="es-MX"/>
        </w:rPr>
        <w:t>AG/doc.5747/21</w:t>
      </w:r>
      <w:r w:rsidR="00614148">
        <w:rPr>
          <w:szCs w:val="22"/>
          <w:lang w:val="es-MX"/>
        </w:rPr>
        <w:t xml:space="preserve"> add.1</w:t>
      </w:r>
    </w:p>
    <w:p w14:paraId="1AEB3929" w14:textId="3C890E93" w:rsidR="00DA4933" w:rsidRPr="00A112FA" w:rsidRDefault="00DA4933" w:rsidP="00A112FA">
      <w:pPr>
        <w:widowControl/>
        <w:tabs>
          <w:tab w:val="left" w:pos="7560"/>
        </w:tabs>
        <w:ind w:right="-1109"/>
        <w:rPr>
          <w:szCs w:val="22"/>
          <w:lang w:val="es-MX"/>
        </w:rPr>
      </w:pPr>
      <w:r w:rsidRPr="00A112FA">
        <w:rPr>
          <w:szCs w:val="22"/>
          <w:lang w:val="es-MX"/>
        </w:rPr>
        <w:t>Ciudad de Guatemala, Guatemala</w:t>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t>1</w:t>
      </w:r>
      <w:r w:rsidR="00614148">
        <w:rPr>
          <w:szCs w:val="22"/>
          <w:lang w:val="es-MX"/>
        </w:rPr>
        <w:t>1</w:t>
      </w:r>
      <w:r w:rsidRPr="00A112FA">
        <w:rPr>
          <w:szCs w:val="22"/>
          <w:lang w:val="es-MX"/>
        </w:rPr>
        <w:t xml:space="preserve"> noviembre 2021</w:t>
      </w:r>
    </w:p>
    <w:p w14:paraId="4CFCA592" w14:textId="19DDC803" w:rsidR="00DA4933" w:rsidRPr="00A112FA" w:rsidRDefault="00DA4933" w:rsidP="00A112FA">
      <w:pPr>
        <w:widowControl/>
        <w:tabs>
          <w:tab w:val="center" w:pos="2160"/>
          <w:tab w:val="left" w:pos="7560"/>
        </w:tabs>
        <w:ind w:right="-1109"/>
        <w:rPr>
          <w:szCs w:val="22"/>
          <w:lang w:val="es-MX"/>
        </w:rPr>
      </w:pPr>
      <w:r w:rsidRPr="00A112FA">
        <w:rPr>
          <w:szCs w:val="22"/>
          <w:lang w:val="es-MX"/>
        </w:rPr>
        <w:t>VIRTUAL</w:t>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t xml:space="preserve">Original: </w:t>
      </w:r>
      <w:r w:rsidR="00046BDB">
        <w:rPr>
          <w:szCs w:val="22"/>
          <w:lang w:val="es-MX"/>
        </w:rPr>
        <w:t>español</w:t>
      </w:r>
    </w:p>
    <w:p w14:paraId="1368BD6A" w14:textId="77777777" w:rsidR="00DA4933" w:rsidRPr="00A112FA" w:rsidRDefault="00DA4933" w:rsidP="00A112FA">
      <w:pPr>
        <w:widowControl/>
        <w:tabs>
          <w:tab w:val="center" w:pos="2160"/>
          <w:tab w:val="left" w:pos="7560"/>
        </w:tabs>
        <w:ind w:right="-1109"/>
        <w:rPr>
          <w:szCs w:val="22"/>
          <w:lang w:val="es-MX"/>
        </w:rPr>
      </w:pPr>
    </w:p>
    <w:p w14:paraId="34374A26" w14:textId="77777777" w:rsidR="00DA4933" w:rsidRPr="00A112FA" w:rsidRDefault="00DA4933" w:rsidP="00A112FA">
      <w:pPr>
        <w:widowControl/>
        <w:tabs>
          <w:tab w:val="center" w:pos="2160"/>
          <w:tab w:val="left" w:pos="7560"/>
        </w:tabs>
        <w:ind w:right="-1109"/>
        <w:rPr>
          <w:szCs w:val="22"/>
          <w:u w:val="single"/>
          <w:lang w:val="es-MX"/>
        </w:rPr>
      </w:pP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lang w:val="es-MX"/>
        </w:rPr>
        <w:tab/>
      </w:r>
      <w:r w:rsidRPr="00A112FA">
        <w:rPr>
          <w:szCs w:val="22"/>
          <w:u w:val="single"/>
          <w:lang w:val="es-MX"/>
        </w:rPr>
        <w:t>Punto 26 del temario</w:t>
      </w:r>
    </w:p>
    <w:p w14:paraId="482467F3"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37B4AE71"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299504BC"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54E37869"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358F455D"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5464C5DE"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3907C19F"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716455EA"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s-MX"/>
        </w:rPr>
      </w:pPr>
    </w:p>
    <w:p w14:paraId="3140E0FA"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s-MX"/>
        </w:rPr>
      </w:pPr>
    </w:p>
    <w:p w14:paraId="2103B11C"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s-MX"/>
        </w:rPr>
      </w:pPr>
    </w:p>
    <w:p w14:paraId="25AE544B" w14:textId="77777777" w:rsidR="00DA4933" w:rsidRPr="00A112FA" w:rsidRDefault="00DA4933" w:rsidP="00A112FA">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s-MX"/>
        </w:rPr>
      </w:pPr>
    </w:p>
    <w:p w14:paraId="49BD25B7" w14:textId="77777777" w:rsidR="00614148" w:rsidRDefault="00DA4933" w:rsidP="00A112FA">
      <w:pPr>
        <w:widowControl/>
        <w:jc w:val="center"/>
        <w:rPr>
          <w:szCs w:val="22"/>
          <w:lang w:val="es-MX"/>
        </w:rPr>
      </w:pPr>
      <w:r w:rsidRPr="00A112FA">
        <w:rPr>
          <w:szCs w:val="22"/>
          <w:lang w:val="es-MX"/>
        </w:rPr>
        <w:t>PROYECTO DE DECLARACIÓN</w:t>
      </w:r>
    </w:p>
    <w:p w14:paraId="0E05078B" w14:textId="77777777" w:rsidR="00614148" w:rsidRDefault="00614148" w:rsidP="00A112FA">
      <w:pPr>
        <w:widowControl/>
        <w:jc w:val="center"/>
        <w:rPr>
          <w:szCs w:val="22"/>
          <w:lang w:val="es-MX"/>
        </w:rPr>
      </w:pPr>
    </w:p>
    <w:p w14:paraId="2BE481E9" w14:textId="46E55C4D" w:rsidR="00DA4933" w:rsidRDefault="00DC2788" w:rsidP="00A112FA">
      <w:pPr>
        <w:widowControl/>
        <w:jc w:val="center"/>
        <w:rPr>
          <w:szCs w:val="22"/>
          <w:lang w:val="es-MX"/>
        </w:rPr>
      </w:pPr>
      <w:r w:rsidRPr="00A112FA">
        <w:rPr>
          <w:szCs w:val="22"/>
          <w:lang w:val="es-MX"/>
        </w:rPr>
        <w:t>“</w:t>
      </w:r>
      <w:r w:rsidR="00DA4933" w:rsidRPr="00A112FA">
        <w:rPr>
          <w:szCs w:val="22"/>
          <w:lang w:val="es-MX"/>
        </w:rPr>
        <w:t xml:space="preserve">COMPROMISO RENOVADO CON EL DESARROLLO SOSTENIBLE </w:t>
      </w:r>
      <w:r w:rsidR="00EB5E30">
        <w:rPr>
          <w:szCs w:val="22"/>
          <w:lang w:val="es-MX"/>
        </w:rPr>
        <w:br/>
      </w:r>
      <w:r w:rsidR="00DA4933" w:rsidRPr="00A112FA">
        <w:rPr>
          <w:szCs w:val="22"/>
          <w:lang w:val="es-MX"/>
        </w:rPr>
        <w:t>POST-COVID-19 EN LAS AMÉRICAS</w:t>
      </w:r>
      <w:r w:rsidRPr="00A112FA">
        <w:rPr>
          <w:szCs w:val="22"/>
          <w:lang w:val="es-MX"/>
        </w:rPr>
        <w:t>”</w:t>
      </w:r>
    </w:p>
    <w:p w14:paraId="25AD63BA" w14:textId="07D7A3E6" w:rsidR="00614148" w:rsidRDefault="00614148" w:rsidP="00A112FA">
      <w:pPr>
        <w:widowControl/>
        <w:jc w:val="center"/>
        <w:rPr>
          <w:szCs w:val="22"/>
          <w:lang w:val="es-MX"/>
        </w:rPr>
      </w:pPr>
    </w:p>
    <w:p w14:paraId="0542D1F3" w14:textId="77777777" w:rsidR="00D77CC5" w:rsidRDefault="00614148"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
          <w:bCs/>
          <w:szCs w:val="22"/>
          <w:lang w:val="es-419" w:eastAsia="en-US"/>
        </w:rPr>
      </w:pPr>
      <w:r w:rsidRPr="00614148">
        <w:rPr>
          <w:rFonts w:eastAsia="Calibri"/>
          <w:b/>
          <w:bCs/>
          <w:szCs w:val="22"/>
          <w:lang w:val="es-419" w:eastAsia="en-US"/>
        </w:rPr>
        <w:t>(Propuestas de la</w:t>
      </w:r>
      <w:r>
        <w:rPr>
          <w:rFonts w:eastAsia="Calibri"/>
          <w:b/>
          <w:bCs/>
          <w:szCs w:val="22"/>
          <w:lang w:val="es-419" w:eastAsia="en-US"/>
        </w:rPr>
        <w:t>s</w:t>
      </w:r>
      <w:r w:rsidRPr="00614148">
        <w:rPr>
          <w:rFonts w:eastAsia="Calibri"/>
          <w:b/>
          <w:bCs/>
          <w:szCs w:val="22"/>
          <w:lang w:val="es-419" w:eastAsia="en-US"/>
        </w:rPr>
        <w:t xml:space="preserve"> Misi</w:t>
      </w:r>
      <w:r>
        <w:rPr>
          <w:rFonts w:eastAsia="Calibri"/>
          <w:b/>
          <w:bCs/>
          <w:szCs w:val="22"/>
          <w:lang w:val="es-419" w:eastAsia="en-US"/>
        </w:rPr>
        <w:t xml:space="preserve">ones </w:t>
      </w:r>
      <w:r w:rsidRPr="00614148">
        <w:rPr>
          <w:rFonts w:eastAsia="Calibri"/>
          <w:b/>
          <w:bCs/>
          <w:szCs w:val="22"/>
          <w:lang w:val="es-419" w:eastAsia="en-US"/>
        </w:rPr>
        <w:t>Permanente</w:t>
      </w:r>
      <w:r>
        <w:rPr>
          <w:rFonts w:eastAsia="Calibri"/>
          <w:b/>
          <w:bCs/>
          <w:szCs w:val="22"/>
          <w:lang w:val="es-419" w:eastAsia="en-US"/>
        </w:rPr>
        <w:t>s</w:t>
      </w:r>
      <w:r w:rsidRPr="00614148">
        <w:rPr>
          <w:rFonts w:eastAsia="Calibri"/>
          <w:b/>
          <w:bCs/>
          <w:szCs w:val="22"/>
          <w:lang w:val="es-419" w:eastAsia="en-US"/>
        </w:rPr>
        <w:t xml:space="preserve"> de</w:t>
      </w:r>
      <w:r>
        <w:rPr>
          <w:rFonts w:eastAsia="Calibri"/>
          <w:b/>
          <w:bCs/>
          <w:szCs w:val="22"/>
          <w:lang w:val="es-419" w:eastAsia="en-US"/>
        </w:rPr>
        <w:t xml:space="preserve"> Canadá y Costa Rica)</w:t>
      </w:r>
    </w:p>
    <w:p w14:paraId="6A16CF08" w14:textId="77777777" w:rsidR="00046BDB" w:rsidRDefault="00046BDB"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
          <w:bCs/>
          <w:szCs w:val="22"/>
          <w:lang w:val="es-419" w:eastAsia="en-US"/>
        </w:rPr>
      </w:pPr>
    </w:p>
    <w:p w14:paraId="1DC39AA4" w14:textId="77777777" w:rsidR="00046BDB" w:rsidRDefault="00046BDB"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
          <w:bCs/>
          <w:szCs w:val="22"/>
          <w:lang w:val="es-419" w:eastAsia="en-US"/>
        </w:rPr>
      </w:pPr>
    </w:p>
    <w:p w14:paraId="70EA9718" w14:textId="08116104" w:rsidR="00046BDB" w:rsidRDefault="00046BDB"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
          <w:bCs/>
          <w:szCs w:val="22"/>
          <w:lang w:val="es-419" w:eastAsia="en-US"/>
        </w:rPr>
        <w:sectPr w:rsidR="00046BDB" w:rsidSect="00046BDB">
          <w:headerReference w:type="default" r:id="rId10"/>
          <w:type w:val="oddPage"/>
          <w:pgSz w:w="12240" w:h="15840" w:code="1"/>
          <w:pgMar w:top="2160" w:right="1570" w:bottom="1296" w:left="1699" w:header="1296" w:footer="1296" w:gutter="0"/>
          <w:pgNumType w:start="1"/>
          <w:cols w:space="720"/>
          <w:titlePg/>
          <w:docGrid w:linePitch="360"/>
        </w:sectPr>
      </w:pPr>
    </w:p>
    <w:p w14:paraId="1C46818A" w14:textId="7410444A" w:rsidR="00614148" w:rsidRDefault="00614148"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Cs w:val="22"/>
          <w:lang w:val="es-MX"/>
        </w:rPr>
      </w:pPr>
      <w:r w:rsidRPr="00A112FA">
        <w:rPr>
          <w:szCs w:val="22"/>
          <w:lang w:val="es-MX"/>
        </w:rPr>
        <w:lastRenderedPageBreak/>
        <w:t>PROYECTO DE DECLARACIÓN</w:t>
      </w:r>
    </w:p>
    <w:p w14:paraId="57E44A85" w14:textId="77777777" w:rsidR="00614148" w:rsidRDefault="00614148" w:rsidP="00614148">
      <w:pPr>
        <w:widowControl/>
        <w:jc w:val="center"/>
        <w:rPr>
          <w:szCs w:val="22"/>
          <w:lang w:val="es-MX"/>
        </w:rPr>
      </w:pPr>
    </w:p>
    <w:p w14:paraId="6C0BC3C7" w14:textId="77777777" w:rsidR="00614148" w:rsidRDefault="00614148" w:rsidP="00614148">
      <w:pPr>
        <w:widowControl/>
        <w:jc w:val="center"/>
        <w:rPr>
          <w:szCs w:val="22"/>
          <w:lang w:val="es-MX"/>
        </w:rPr>
      </w:pPr>
      <w:r w:rsidRPr="00A112FA">
        <w:rPr>
          <w:szCs w:val="22"/>
          <w:lang w:val="es-MX"/>
        </w:rPr>
        <w:t>“COMPROMISO RENOVADO CON EL DESARROLLO SOSTENIBLE POST-COVID-19 EN LAS AMÉRICAS”</w:t>
      </w:r>
    </w:p>
    <w:p w14:paraId="1A62A5FA" w14:textId="77777777" w:rsidR="00614148" w:rsidRDefault="00614148" w:rsidP="00614148">
      <w:pPr>
        <w:widowControl/>
        <w:jc w:val="center"/>
        <w:rPr>
          <w:szCs w:val="22"/>
          <w:lang w:val="es-MX"/>
        </w:rPr>
      </w:pPr>
    </w:p>
    <w:p w14:paraId="217903C9" w14:textId="57FE1DEE" w:rsidR="00614148" w:rsidRDefault="00614148" w:rsidP="0061414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b/>
          <w:bCs/>
          <w:szCs w:val="22"/>
          <w:lang w:val="es-419" w:eastAsia="en-US"/>
        </w:rPr>
      </w:pPr>
      <w:r w:rsidRPr="00614148">
        <w:rPr>
          <w:rFonts w:eastAsia="Calibri"/>
          <w:b/>
          <w:bCs/>
          <w:szCs w:val="22"/>
          <w:lang w:val="es-419" w:eastAsia="en-US"/>
        </w:rPr>
        <w:t>(Propuestas de la</w:t>
      </w:r>
      <w:r>
        <w:rPr>
          <w:rFonts w:eastAsia="Calibri"/>
          <w:b/>
          <w:bCs/>
          <w:szCs w:val="22"/>
          <w:lang w:val="es-419" w:eastAsia="en-US"/>
        </w:rPr>
        <w:t>s</w:t>
      </w:r>
      <w:r w:rsidRPr="00614148">
        <w:rPr>
          <w:rFonts w:eastAsia="Calibri"/>
          <w:b/>
          <w:bCs/>
          <w:szCs w:val="22"/>
          <w:lang w:val="es-419" w:eastAsia="en-US"/>
        </w:rPr>
        <w:t xml:space="preserve"> Misi</w:t>
      </w:r>
      <w:r>
        <w:rPr>
          <w:rFonts w:eastAsia="Calibri"/>
          <w:b/>
          <w:bCs/>
          <w:szCs w:val="22"/>
          <w:lang w:val="es-419" w:eastAsia="en-US"/>
        </w:rPr>
        <w:t xml:space="preserve">ones </w:t>
      </w:r>
      <w:r w:rsidRPr="00614148">
        <w:rPr>
          <w:rFonts w:eastAsia="Calibri"/>
          <w:b/>
          <w:bCs/>
          <w:szCs w:val="22"/>
          <w:lang w:val="es-419" w:eastAsia="en-US"/>
        </w:rPr>
        <w:t>Permanente</w:t>
      </w:r>
      <w:r>
        <w:rPr>
          <w:rFonts w:eastAsia="Calibri"/>
          <w:b/>
          <w:bCs/>
          <w:szCs w:val="22"/>
          <w:lang w:val="es-419" w:eastAsia="en-US"/>
        </w:rPr>
        <w:t>s</w:t>
      </w:r>
      <w:r w:rsidRPr="00614148">
        <w:rPr>
          <w:rFonts w:eastAsia="Calibri"/>
          <w:b/>
          <w:bCs/>
          <w:szCs w:val="22"/>
          <w:lang w:val="es-419" w:eastAsia="en-US"/>
        </w:rPr>
        <w:t xml:space="preserve"> de</w:t>
      </w:r>
      <w:r>
        <w:rPr>
          <w:rFonts w:eastAsia="Calibri"/>
          <w:b/>
          <w:bCs/>
          <w:szCs w:val="22"/>
          <w:lang w:val="es-419" w:eastAsia="en-US"/>
        </w:rPr>
        <w:t xml:space="preserve"> Canadá y Costa Rica)</w:t>
      </w:r>
    </w:p>
    <w:p w14:paraId="4ACF15B1" w14:textId="77777777" w:rsidR="00D77CC5" w:rsidRPr="00614148" w:rsidRDefault="00D77CC5" w:rsidP="0061414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Cs w:val="22"/>
          <w:lang w:val="es-419" w:eastAsia="en-US"/>
        </w:rPr>
      </w:pPr>
    </w:p>
    <w:p w14:paraId="3A92EE71" w14:textId="77777777" w:rsidR="00614148" w:rsidRPr="00614148" w:rsidRDefault="00614148" w:rsidP="0061414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jc w:val="left"/>
        <w:rPr>
          <w:rFonts w:eastAsia="Calibri"/>
          <w:szCs w:val="22"/>
          <w:lang w:eastAsia="en-US"/>
        </w:rPr>
      </w:pPr>
    </w:p>
    <w:p w14:paraId="31D23646" w14:textId="77777777" w:rsidR="00614148" w:rsidRPr="00614148" w:rsidRDefault="00614148"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eastAsia="Calibri"/>
          <w:szCs w:val="22"/>
          <w:lang w:eastAsia="en-US"/>
        </w:rPr>
      </w:pPr>
      <w:r w:rsidRPr="00614148">
        <w:rPr>
          <w:rFonts w:eastAsia="Calibri"/>
          <w:szCs w:val="22"/>
          <w:lang w:eastAsia="en-US"/>
        </w:rPr>
        <w:t xml:space="preserve">LA ASAMBLEA GENERAL, </w:t>
      </w:r>
    </w:p>
    <w:p w14:paraId="6878F15F" w14:textId="77777777" w:rsidR="00614148" w:rsidRPr="00614148" w:rsidRDefault="00614148"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eastAsia="Calibri"/>
          <w:szCs w:val="22"/>
          <w:lang w:eastAsia="en-US"/>
        </w:rPr>
      </w:pPr>
    </w:p>
    <w:p w14:paraId="02D0B078" w14:textId="77777777" w:rsidR="00614148" w:rsidRPr="00614148" w:rsidRDefault="00614148"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eastAsia="Calibri"/>
          <w:szCs w:val="22"/>
          <w:lang w:eastAsia="en-US"/>
        </w:rPr>
      </w:pPr>
      <w:r w:rsidRPr="00614148">
        <w:rPr>
          <w:rFonts w:eastAsia="Calibri"/>
          <w:szCs w:val="22"/>
          <w:lang w:eastAsia="en-US"/>
        </w:rPr>
        <w:t>REAFIRMANDO su compromiso con los principios expresados ​​en el artículo 3 de la Carta de la Organización de los Estados Americanos, con la necesidad urgente de fortalecer las acciones de la Organización y sus Estados Miembros para el logro de las metas contenidas en el capítulo VII de la Carta de la Organización, especialmente de acuerdo con el artículo 30, y con la Declaración Americana de los Derechos y Deberes del Hombre, la Convención Americana y su Protocolo en materia de Derechos Económicos, Sociales y Culturales (Protocolo de San Salvador);</w:t>
      </w:r>
    </w:p>
    <w:p w14:paraId="1B0E8EBD" w14:textId="77777777" w:rsidR="00614148" w:rsidRPr="00614148" w:rsidRDefault="00614148"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eastAsia="Calibri"/>
          <w:szCs w:val="22"/>
          <w:lang w:eastAsia="en-US"/>
        </w:rPr>
      </w:pPr>
    </w:p>
    <w:p w14:paraId="1886A369" w14:textId="77777777" w:rsidR="00614148" w:rsidRPr="00614148" w:rsidRDefault="00614148"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eastAsia="Calibri"/>
          <w:szCs w:val="22"/>
          <w:lang w:val="es-419" w:eastAsia="en-US"/>
        </w:rPr>
      </w:pPr>
      <w:r w:rsidRPr="00614148">
        <w:rPr>
          <w:rFonts w:eastAsia="Calibri"/>
          <w:szCs w:val="22"/>
          <w:lang w:eastAsia="en-US"/>
        </w:rPr>
        <w:t>RECORDANDO el artículo 15 de la Carta Democrática Interamericana en cual se afirma que “el ejercicio de la democracia facilita la preservación y el manejo adecuado del medio ambiente”, y reitera la necesidad de “la protección del medio ambiente para lograr un desarrollo sostenible en beneficio de las futuras generaciones”, los compromisos de los Estados Miembros con la acción climática a través del Acuerdo de París, en virtud de la Convención Marco de las Naciones Unidas sobre el Cambio Climático (CMNUCC) y los acuerdos relacionados, y del Programa Interamericano para el Desarrollo Sostenible (PIDS), y</w:t>
      </w:r>
      <w:r w:rsidRPr="00614148">
        <w:rPr>
          <w:rFonts w:eastAsia="Calibri"/>
          <w:szCs w:val="22"/>
          <w:lang w:val="es-419" w:eastAsia="en-US"/>
        </w:rPr>
        <w:t xml:space="preserve"> el derecho al desarrollo proclamado en la Declaración sobre el Derecho al Desarrollo, aprobada en 1986 por la Asamblea General de las Naciones Unidas, y reafirmado en la Declaración y Programa de Acción de Viena de la Conferencia Mundial de Derechos Humanos;</w:t>
      </w:r>
    </w:p>
    <w:p w14:paraId="0037A6D9" w14:textId="77777777" w:rsidR="00614148" w:rsidRPr="00614148" w:rsidRDefault="00614148"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eastAsia="Calibri"/>
          <w:szCs w:val="22"/>
          <w:lang w:eastAsia="en-US"/>
        </w:rPr>
      </w:pPr>
    </w:p>
    <w:p w14:paraId="7208930B" w14:textId="12C9A65A" w:rsidR="00614148" w:rsidRPr="00614148" w:rsidRDefault="00614148"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eastAsia="Calibri"/>
          <w:szCs w:val="22"/>
          <w:lang w:eastAsia="en-US"/>
        </w:rPr>
      </w:pPr>
      <w:r w:rsidRPr="00614148">
        <w:rPr>
          <w:rFonts w:eastAsia="Calibri"/>
          <w:szCs w:val="22"/>
          <w:lang w:eastAsia="en-US"/>
        </w:rPr>
        <w:tab/>
        <w:t xml:space="preserve">RECONOCIENDO que para lograr el desarrollo sostenible y alcanzar los objetivos de la Agenda 2030, los Estados Miembros también deben continuar abordando </w:t>
      </w:r>
      <w:r w:rsidRPr="00614148">
        <w:rPr>
          <w:rFonts w:eastAsia="Calibri"/>
          <w:b/>
          <w:color w:val="FF0000"/>
          <w:szCs w:val="22"/>
          <w:lang w:val="es-CR" w:eastAsia="en-US"/>
        </w:rPr>
        <w:t>[</w:t>
      </w:r>
      <w:r w:rsidRPr="00614148">
        <w:rPr>
          <w:rFonts w:eastAsia="Calibri"/>
          <w:b/>
          <w:color w:val="2F5496" w:themeColor="accent1" w:themeShade="BF"/>
          <w:szCs w:val="22"/>
          <w:lang w:val="es-CR" w:eastAsia="en-US"/>
        </w:rPr>
        <w:t>CR</w:t>
      </w:r>
      <w:r w:rsidRPr="00614148">
        <w:rPr>
          <w:rFonts w:eastAsia="Calibri"/>
          <w:b/>
          <w:color w:val="FF0000"/>
          <w:szCs w:val="22"/>
          <w:lang w:val="es-CR" w:eastAsia="en-US"/>
        </w:rPr>
        <w:t xml:space="preserve">: </w:t>
      </w:r>
      <w:r w:rsidRPr="00614148">
        <w:rPr>
          <w:rFonts w:eastAsia="Calibri"/>
          <w:strike/>
          <w:color w:val="FF0000"/>
          <w:szCs w:val="22"/>
          <w:lang w:eastAsia="en-US"/>
        </w:rPr>
        <w:t>los flagelos del racismo estructural</w:t>
      </w:r>
      <w:r w:rsidRPr="00614148">
        <w:rPr>
          <w:rFonts w:eastAsia="Calibri"/>
          <w:b/>
          <w:color w:val="FF0000"/>
          <w:szCs w:val="22"/>
          <w:lang w:eastAsia="en-US"/>
        </w:rPr>
        <w:t xml:space="preserve"> </w:t>
      </w:r>
      <w:r w:rsidRPr="00614148">
        <w:rPr>
          <w:rFonts w:eastAsia="Calibri"/>
          <w:b/>
          <w:color w:val="2F5496" w:themeColor="accent1" w:themeShade="BF"/>
          <w:szCs w:val="22"/>
          <w:lang w:eastAsia="en-US"/>
        </w:rPr>
        <w:t>las causas estructurales del racismo sistémico</w:t>
      </w:r>
      <w:r w:rsidRPr="00614148">
        <w:rPr>
          <w:rFonts w:eastAsia="Calibri"/>
          <w:b/>
          <w:color w:val="FF0000"/>
          <w:szCs w:val="22"/>
          <w:lang w:eastAsia="en-US"/>
        </w:rPr>
        <w:t>]</w:t>
      </w:r>
      <w:r w:rsidRPr="00614148">
        <w:rPr>
          <w:rFonts w:eastAsia="Calibri"/>
          <w:szCs w:val="22"/>
          <w:lang w:eastAsia="en-US"/>
        </w:rPr>
        <w:t xml:space="preserve">, la discriminación, la intolerancia y la desigualdad, los cuales afectan particularmente a las personas en situación de vulnerabilidad, en particular las mujeres </w:t>
      </w:r>
      <w:r w:rsidRPr="00614148">
        <w:rPr>
          <w:rFonts w:eastAsia="Calibri"/>
          <w:b/>
          <w:color w:val="FF0000"/>
          <w:szCs w:val="22"/>
          <w:lang w:val="es-CR" w:eastAsia="en-US"/>
        </w:rPr>
        <w:t>[</w:t>
      </w:r>
      <w:r w:rsidRPr="00614148">
        <w:rPr>
          <w:rFonts w:eastAsia="Calibri"/>
          <w:b/>
          <w:color w:val="2F5496" w:themeColor="accent1" w:themeShade="BF"/>
          <w:szCs w:val="22"/>
          <w:lang w:val="es-CR" w:eastAsia="en-US"/>
        </w:rPr>
        <w:t>CR</w:t>
      </w:r>
      <w:r w:rsidRPr="00614148">
        <w:rPr>
          <w:rFonts w:eastAsia="Calibri"/>
          <w:b/>
          <w:color w:val="FF0000"/>
          <w:szCs w:val="22"/>
          <w:lang w:val="es-CR" w:eastAsia="en-US"/>
        </w:rPr>
        <w:t xml:space="preserve">: </w:t>
      </w:r>
      <w:r w:rsidRPr="00614148">
        <w:rPr>
          <w:rFonts w:eastAsia="Calibri"/>
          <w:strike/>
          <w:color w:val="FF0000"/>
          <w:szCs w:val="22"/>
          <w:lang w:eastAsia="en-US"/>
        </w:rPr>
        <w:t>integrada quienes han sido afectadas aún más negativamente en los sectores de servicios, incluyendo la provisión de cuidados, que ha puesto de relieve las dimensiones de género de la pandemia COVID-19, tales como los riesgos para</w:t>
      </w:r>
      <w:r w:rsidRPr="00614148">
        <w:rPr>
          <w:rFonts w:eastAsia="Calibri"/>
          <w:b/>
          <w:color w:val="FF0000"/>
          <w:szCs w:val="22"/>
          <w:lang w:eastAsia="en-US"/>
        </w:rPr>
        <w:t xml:space="preserve"> </w:t>
      </w:r>
      <w:r w:rsidRPr="00614148">
        <w:rPr>
          <w:rFonts w:eastAsia="Calibri"/>
          <w:b/>
          <w:color w:val="2F5496" w:themeColor="accent1" w:themeShade="BF"/>
          <w:szCs w:val="22"/>
          <w:lang w:eastAsia="en-US"/>
        </w:rPr>
        <w:t xml:space="preserve">quienes se han visto negativamente afectadas </w:t>
      </w:r>
      <w:r w:rsidRPr="00614148">
        <w:rPr>
          <w:rFonts w:eastAsia="Calibri"/>
          <w:b/>
          <w:color w:val="2F5496" w:themeColor="accent1" w:themeShade="BF"/>
          <w:szCs w:val="22"/>
          <w:lang w:eastAsia="en-US"/>
        </w:rPr>
        <w:lastRenderedPageBreak/>
        <w:t>por la pandemia COVID -19 dado el aumento exacerbado de la violencia, el trabajo no remunerado de cuido, y la falta de acceso al mercado laboral formal, lo que representa un gran retroceso en</w:t>
      </w:r>
      <w:r w:rsidRPr="00614148">
        <w:rPr>
          <w:rFonts w:eastAsia="Calibri"/>
          <w:b/>
          <w:color w:val="FF0000"/>
          <w:szCs w:val="22"/>
          <w:lang w:eastAsia="en-US"/>
        </w:rPr>
        <w:t>]</w:t>
      </w:r>
      <w:r w:rsidRPr="00614148">
        <w:rPr>
          <w:rFonts w:eastAsia="Calibri"/>
          <w:szCs w:val="22"/>
          <w:lang w:eastAsia="en-US"/>
        </w:rPr>
        <w:t xml:space="preserve"> el pleno e igual ejercicio de los derechos económicos de la mujer, y </w:t>
      </w:r>
      <w:r w:rsidRPr="00614148">
        <w:rPr>
          <w:rFonts w:eastAsia="Calibri"/>
          <w:b/>
          <w:color w:val="FF0000"/>
          <w:szCs w:val="22"/>
          <w:lang w:eastAsia="en-US"/>
        </w:rPr>
        <w:t>[</w:t>
      </w:r>
      <w:r w:rsidRPr="00614148">
        <w:rPr>
          <w:rFonts w:eastAsia="Calibri"/>
          <w:b/>
          <w:color w:val="2F5496" w:themeColor="accent1" w:themeShade="BF"/>
          <w:szCs w:val="22"/>
          <w:lang w:eastAsia="en-US"/>
        </w:rPr>
        <w:t>CR</w:t>
      </w:r>
      <w:r w:rsidRPr="00614148">
        <w:rPr>
          <w:rFonts w:eastAsia="Calibri"/>
          <w:b/>
          <w:color w:val="FF0000"/>
          <w:szCs w:val="22"/>
          <w:lang w:eastAsia="en-US"/>
        </w:rPr>
        <w:t xml:space="preserve">: </w:t>
      </w:r>
      <w:r w:rsidRPr="00614148">
        <w:rPr>
          <w:rFonts w:eastAsia="Calibri"/>
          <w:b/>
          <w:strike/>
          <w:color w:val="FF0000"/>
          <w:szCs w:val="22"/>
          <w:lang w:eastAsia="en-US"/>
        </w:rPr>
        <w:t>para</w:t>
      </w:r>
      <w:r w:rsidRPr="00614148">
        <w:rPr>
          <w:rFonts w:eastAsia="Calibri"/>
          <w:b/>
          <w:color w:val="FF0000"/>
          <w:szCs w:val="22"/>
          <w:lang w:eastAsia="en-US"/>
        </w:rPr>
        <w:t xml:space="preserve"> </w:t>
      </w:r>
      <w:r w:rsidRPr="00614148">
        <w:rPr>
          <w:rFonts w:eastAsia="Calibri"/>
          <w:b/>
          <w:strike/>
          <w:color w:val="FF0000"/>
          <w:szCs w:val="22"/>
          <w:lang w:eastAsia="en-US"/>
        </w:rPr>
        <w:t xml:space="preserve">un gran retroceso </w:t>
      </w:r>
      <w:r w:rsidRPr="00614148">
        <w:rPr>
          <w:rFonts w:eastAsia="Calibri"/>
          <w:b/>
          <w:color w:val="FF0000"/>
          <w:szCs w:val="22"/>
          <w:lang w:eastAsia="en-US"/>
        </w:rPr>
        <w:t>]</w:t>
      </w:r>
      <w:r w:rsidRPr="00614148">
        <w:rPr>
          <w:rFonts w:eastAsia="Calibri"/>
          <w:szCs w:val="22"/>
          <w:lang w:eastAsia="en-US"/>
        </w:rPr>
        <w:t xml:space="preserve"> para el desarrollo sostenible;  </w:t>
      </w:r>
    </w:p>
    <w:p w14:paraId="4DFE0063" w14:textId="77777777" w:rsidR="00614148" w:rsidRPr="00614148" w:rsidRDefault="00614148"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eastAsia="Calibri"/>
          <w:szCs w:val="22"/>
          <w:lang w:eastAsia="en-US"/>
        </w:rPr>
      </w:pPr>
    </w:p>
    <w:p w14:paraId="2461B3B4" w14:textId="2154FE79" w:rsidR="00614148" w:rsidRPr="00614148" w:rsidRDefault="00614148" w:rsidP="00D77CC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szCs w:val="22"/>
          <w:lang w:eastAsia="en-US"/>
        </w:rPr>
      </w:pPr>
      <w:r w:rsidRPr="00614148">
        <w:rPr>
          <w:szCs w:val="22"/>
          <w:lang w:eastAsia="en-US"/>
        </w:rPr>
        <w:t>CON UN RENOVADO COMPROMISO en este primer año de la Década de Acción por los ODS, hacia el logro de la Agenda 2030 para el Desarrollo Sostenible en las Américas;</w:t>
      </w:r>
    </w:p>
    <w:p w14:paraId="5337BCC8" w14:textId="77777777" w:rsidR="00614148" w:rsidRPr="00614148" w:rsidRDefault="00614148" w:rsidP="00D77CC5">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Cs w:val="22"/>
          <w:lang w:eastAsia="en-US"/>
        </w:rPr>
      </w:pPr>
    </w:p>
    <w:p w14:paraId="1C522DEF" w14:textId="3D9DFB99" w:rsidR="00614148" w:rsidRPr="00614148" w:rsidRDefault="00614148"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eastAsia="Calibri"/>
          <w:i/>
          <w:iCs/>
          <w:szCs w:val="22"/>
          <w:u w:val="single"/>
          <w:lang w:eastAsia="en-US"/>
        </w:rPr>
      </w:pPr>
      <w:r w:rsidRPr="00614148">
        <w:rPr>
          <w:rFonts w:eastAsia="Calibri"/>
          <w:szCs w:val="22"/>
          <w:lang w:eastAsia="en-US"/>
        </w:rPr>
        <w:t>RESUELVE:</w:t>
      </w:r>
      <w:r w:rsidRPr="00614148">
        <w:rPr>
          <w:rFonts w:eastAsia="Calibri"/>
          <w:i/>
          <w:iCs/>
          <w:szCs w:val="22"/>
          <w:u w:val="single"/>
          <w:lang w:eastAsia="en-US"/>
        </w:rPr>
        <w:t xml:space="preserve"> </w:t>
      </w:r>
    </w:p>
    <w:p w14:paraId="17B8E52C" w14:textId="77777777" w:rsidR="00614148" w:rsidRPr="00614148" w:rsidRDefault="00614148"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eastAsia="Calibri"/>
          <w:i/>
          <w:iCs/>
          <w:szCs w:val="22"/>
          <w:u w:val="single"/>
          <w:lang w:eastAsia="en-US"/>
        </w:rPr>
      </w:pPr>
    </w:p>
    <w:p w14:paraId="2B3C7711" w14:textId="1448B685" w:rsidR="00614148" w:rsidRPr="00614148" w:rsidRDefault="00614148" w:rsidP="00D77CC5">
      <w:pPr>
        <w:widowControl/>
        <w:numPr>
          <w:ilvl w:val="0"/>
          <w:numId w:val="3"/>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after="160" w:line="360" w:lineRule="auto"/>
        <w:ind w:left="0" w:firstLine="720"/>
        <w:rPr>
          <w:color w:val="201F1E"/>
          <w:szCs w:val="22"/>
          <w:lang w:val="es-EC" w:eastAsia="en-US"/>
        </w:rPr>
      </w:pPr>
      <w:r w:rsidRPr="00614148">
        <w:rPr>
          <w:b/>
          <w:color w:val="FF0000"/>
          <w:sz w:val="24"/>
          <w:szCs w:val="24"/>
          <w:lang w:val="es-CR" w:eastAsia="en-US"/>
        </w:rPr>
        <w:t>[</w:t>
      </w:r>
      <w:r w:rsidRPr="00614148">
        <w:rPr>
          <w:b/>
          <w:color w:val="2F5496" w:themeColor="accent1" w:themeShade="BF"/>
          <w:sz w:val="24"/>
          <w:szCs w:val="24"/>
          <w:lang w:val="es-CR" w:eastAsia="en-US"/>
        </w:rPr>
        <w:t>CR</w:t>
      </w:r>
      <w:r w:rsidRPr="00614148">
        <w:rPr>
          <w:b/>
          <w:color w:val="FF0000"/>
          <w:sz w:val="24"/>
          <w:szCs w:val="24"/>
          <w:lang w:val="es-CR" w:eastAsia="en-US"/>
        </w:rPr>
        <w:t xml:space="preserve">: </w:t>
      </w:r>
      <w:r w:rsidRPr="00614148">
        <w:rPr>
          <w:b/>
          <w:strike/>
          <w:color w:val="FF0000"/>
          <w:sz w:val="24"/>
          <w:szCs w:val="24"/>
          <w:lang w:val="es-CR" w:eastAsia="en-US"/>
        </w:rPr>
        <w:t xml:space="preserve"> </w:t>
      </w:r>
      <w:r w:rsidRPr="00614148">
        <w:rPr>
          <w:strike/>
          <w:color w:val="FF0000"/>
          <w:sz w:val="24"/>
          <w:szCs w:val="24"/>
          <w:lang w:val="es-CR" w:eastAsia="en-US"/>
        </w:rPr>
        <w:t>Adoptar</w:t>
      </w:r>
      <w:r w:rsidRPr="00614148">
        <w:rPr>
          <w:b/>
          <w:strike/>
          <w:color w:val="FF0000"/>
          <w:sz w:val="24"/>
          <w:szCs w:val="24"/>
          <w:lang w:val="es-CR" w:eastAsia="en-US"/>
        </w:rPr>
        <w:t xml:space="preserve"> </w:t>
      </w:r>
      <w:r w:rsidRPr="00614148">
        <w:rPr>
          <w:b/>
          <w:color w:val="FF0000"/>
          <w:sz w:val="24"/>
          <w:szCs w:val="24"/>
          <w:lang w:eastAsia="en-US"/>
        </w:rPr>
        <w:t xml:space="preserve">  </w:t>
      </w:r>
      <w:r w:rsidRPr="00614148">
        <w:rPr>
          <w:b/>
          <w:color w:val="2F5496" w:themeColor="accent1" w:themeShade="BF"/>
          <w:sz w:val="24"/>
          <w:szCs w:val="24"/>
          <w:lang w:eastAsia="en-US"/>
        </w:rPr>
        <w:t>Promover que los Estados Miembros adopten</w:t>
      </w:r>
      <w:r w:rsidRPr="00614148">
        <w:rPr>
          <w:b/>
          <w:color w:val="FF0000"/>
          <w:sz w:val="24"/>
          <w:szCs w:val="24"/>
          <w:lang w:eastAsia="en-US"/>
        </w:rPr>
        <w:t>]</w:t>
      </w:r>
      <w:r w:rsidRPr="00614148">
        <w:rPr>
          <w:color w:val="201F1E"/>
          <w:szCs w:val="22"/>
          <w:lang w:val="es-EC" w:eastAsia="en-US"/>
        </w:rPr>
        <w:t xml:space="preserve"> un enfoque integral y multidisciplinario involucrando todos los Estados Miembros y todas las entidades, órganos, las organizaciones especializadas y las secretarías de la Organización de los Estados Americanos, </w:t>
      </w:r>
      <w:r w:rsidRPr="00614148">
        <w:rPr>
          <w:b/>
          <w:color w:val="FF0000"/>
          <w:sz w:val="24"/>
          <w:szCs w:val="24"/>
          <w:lang w:val="es-CR" w:eastAsia="en-US"/>
        </w:rPr>
        <w:t>[</w:t>
      </w:r>
      <w:r w:rsidRPr="00614148">
        <w:rPr>
          <w:b/>
          <w:color w:val="2F5496" w:themeColor="accent1" w:themeShade="BF"/>
          <w:sz w:val="24"/>
          <w:szCs w:val="24"/>
          <w:lang w:val="es-CR" w:eastAsia="en-US"/>
        </w:rPr>
        <w:t>CR</w:t>
      </w:r>
      <w:r w:rsidRPr="00614148">
        <w:rPr>
          <w:b/>
          <w:color w:val="FF0000"/>
          <w:sz w:val="24"/>
          <w:szCs w:val="24"/>
          <w:lang w:val="es-CR" w:eastAsia="en-US"/>
        </w:rPr>
        <w:t xml:space="preserve">: </w:t>
      </w:r>
      <w:r w:rsidRPr="00614148">
        <w:rPr>
          <w:strike/>
          <w:color w:val="FF0000"/>
          <w:szCs w:val="22"/>
          <w:lang w:val="es-EC" w:eastAsia="en-US"/>
        </w:rPr>
        <w:t>para alcanzar la totalidad</w:t>
      </w:r>
      <w:r w:rsidRPr="00614148">
        <w:rPr>
          <w:b/>
          <w:color w:val="FF0000"/>
          <w:sz w:val="24"/>
          <w:szCs w:val="24"/>
          <w:lang w:eastAsia="en-US"/>
        </w:rPr>
        <w:t xml:space="preserve"> </w:t>
      </w:r>
      <w:r w:rsidRPr="00614148">
        <w:rPr>
          <w:b/>
          <w:color w:val="2F5496" w:themeColor="accent1" w:themeShade="BF"/>
          <w:sz w:val="24"/>
          <w:szCs w:val="24"/>
          <w:lang w:eastAsia="en-US"/>
        </w:rPr>
        <w:t>en la búsqueda del cumplimiento</w:t>
      </w:r>
      <w:r w:rsidRPr="00614148">
        <w:rPr>
          <w:b/>
          <w:color w:val="FF0000"/>
          <w:sz w:val="24"/>
          <w:szCs w:val="24"/>
          <w:lang w:eastAsia="en-US"/>
        </w:rPr>
        <w:t>]</w:t>
      </w:r>
      <w:r w:rsidRPr="00614148">
        <w:rPr>
          <w:color w:val="201F1E"/>
          <w:szCs w:val="22"/>
          <w:lang w:val="es-EC" w:eastAsia="en-US"/>
        </w:rPr>
        <w:t xml:space="preserve"> de las metas establecidas en la Agenda 2030 para el Desarrollo Sostenible.</w:t>
      </w:r>
    </w:p>
    <w:p w14:paraId="49B095DA" w14:textId="351114B7" w:rsidR="00614148" w:rsidRPr="00614148" w:rsidRDefault="00614148"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eastAsia="Calibri"/>
          <w:szCs w:val="22"/>
          <w:lang w:eastAsia="en-US"/>
        </w:rPr>
      </w:pPr>
    </w:p>
    <w:p w14:paraId="16719B66" w14:textId="799D7D51" w:rsidR="00614148" w:rsidRPr="00614148" w:rsidRDefault="00614148" w:rsidP="00D77CC5">
      <w:pPr>
        <w:widowControl/>
        <w:numPr>
          <w:ilvl w:val="0"/>
          <w:numId w:val="3"/>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after="160" w:line="360" w:lineRule="auto"/>
        <w:ind w:left="0" w:firstLine="720"/>
        <w:rPr>
          <w:szCs w:val="22"/>
          <w:bdr w:val="none" w:sz="0" w:space="0" w:color="auto" w:frame="1"/>
          <w:lang w:eastAsia="en-US"/>
        </w:rPr>
      </w:pPr>
      <w:r w:rsidRPr="00614148">
        <w:rPr>
          <w:szCs w:val="22"/>
          <w:bdr w:val="none" w:sz="0" w:space="0" w:color="auto" w:frame="1"/>
          <w:lang w:eastAsia="en-US"/>
        </w:rPr>
        <w:t xml:space="preserve">Instar a los Estados Miembros a que adopten medidas individuales y colectivas para abordar las causas </w:t>
      </w:r>
      <w:r w:rsidRPr="00614148">
        <w:rPr>
          <w:szCs w:val="22"/>
          <w:lang w:eastAsia="en-US"/>
        </w:rPr>
        <w:t>estructurales y sistémicas</w:t>
      </w:r>
      <w:r w:rsidRPr="00614148">
        <w:rPr>
          <w:szCs w:val="22"/>
          <w:bdr w:val="none" w:sz="0" w:space="0" w:color="auto" w:frame="1"/>
          <w:lang w:eastAsia="en-US"/>
        </w:rPr>
        <w:t xml:space="preserve"> subyacentes del cambio climático - </w:t>
      </w:r>
      <w:r w:rsidRPr="00614148">
        <w:rPr>
          <w:sz w:val="24"/>
          <w:szCs w:val="24"/>
          <w:lang w:eastAsia="en-US"/>
        </w:rPr>
        <w:t xml:space="preserve">a través de sus compromisos en virtud de la Convención Marco de las Naciones Unidas sobre el Cambio Climático (CMNUCC) y los acuerdos relacionados, la corrupción, la discriminación, hambre e inseguridad alimentaria y nutricional, </w:t>
      </w:r>
      <w:r w:rsidRPr="00614148">
        <w:rPr>
          <w:szCs w:val="22"/>
          <w:bdr w:val="none" w:sz="0" w:space="0" w:color="auto" w:frame="1"/>
          <w:lang w:eastAsia="en-US"/>
        </w:rPr>
        <w:t xml:space="preserve">la </w:t>
      </w:r>
      <w:r w:rsidRPr="00614148">
        <w:rPr>
          <w:b/>
          <w:color w:val="FF0000"/>
          <w:szCs w:val="22"/>
          <w:bdr w:val="none" w:sz="0" w:space="0" w:color="auto" w:frame="1"/>
          <w:lang w:eastAsia="en-US"/>
        </w:rPr>
        <w:t>[</w:t>
      </w:r>
      <w:r w:rsidR="00D77CC5" w:rsidRPr="00D77CC5">
        <w:rPr>
          <w:b/>
          <w:color w:val="2F5496" w:themeColor="accent1" w:themeShade="BF"/>
          <w:szCs w:val="22"/>
          <w:bdr w:val="none" w:sz="0" w:space="0" w:color="auto" w:frame="1"/>
          <w:lang w:eastAsia="en-US"/>
        </w:rPr>
        <w:t>CAN</w:t>
      </w:r>
      <w:r w:rsidR="00D77CC5" w:rsidRPr="00614148">
        <w:rPr>
          <w:b/>
          <w:color w:val="FF0000"/>
          <w:szCs w:val="22"/>
          <w:bdr w:val="none" w:sz="0" w:space="0" w:color="auto" w:frame="1"/>
          <w:lang w:eastAsia="en-US"/>
        </w:rPr>
        <w:t xml:space="preserve">: </w:t>
      </w:r>
      <w:r w:rsidRPr="00614148">
        <w:rPr>
          <w:b/>
          <w:strike/>
          <w:color w:val="FF0000"/>
          <w:szCs w:val="22"/>
          <w:bdr w:val="none" w:sz="0" w:space="0" w:color="auto" w:frame="1"/>
          <w:lang w:eastAsia="en-US"/>
        </w:rPr>
        <w:t>migración forzada</w:t>
      </w:r>
      <w:r w:rsidRPr="00614148">
        <w:rPr>
          <w:b/>
          <w:color w:val="FF0000"/>
          <w:szCs w:val="22"/>
          <w:bdr w:val="none" w:sz="0" w:space="0" w:color="auto" w:frame="1"/>
          <w:lang w:eastAsia="en-US"/>
        </w:rPr>
        <w:t xml:space="preserve"> </w:t>
      </w:r>
      <w:r w:rsidRPr="00614148">
        <w:rPr>
          <w:b/>
          <w:color w:val="2F5496" w:themeColor="accent1" w:themeShade="BF"/>
          <w:szCs w:val="22"/>
          <w:bdr w:val="none" w:sz="0" w:space="0" w:color="auto" w:frame="1"/>
          <w:lang w:eastAsia="en-US"/>
        </w:rPr>
        <w:t>desplazamiento forzado</w:t>
      </w:r>
      <w:r w:rsidRPr="00614148">
        <w:rPr>
          <w:b/>
          <w:color w:val="FF0000"/>
          <w:szCs w:val="22"/>
          <w:bdr w:val="none" w:sz="0" w:space="0" w:color="auto" w:frame="1"/>
          <w:lang w:eastAsia="en-US"/>
        </w:rPr>
        <w:t>]</w:t>
      </w:r>
      <w:r w:rsidRPr="00614148">
        <w:rPr>
          <w:szCs w:val="22"/>
          <w:bdr w:val="none" w:sz="0" w:space="0" w:color="auto" w:frame="1"/>
          <w:lang w:eastAsia="en-US"/>
        </w:rPr>
        <w:t>,</w:t>
      </w:r>
      <w:r w:rsidRPr="00614148">
        <w:rPr>
          <w:sz w:val="24"/>
          <w:szCs w:val="24"/>
          <w:lang w:eastAsia="en-US"/>
        </w:rPr>
        <w:t xml:space="preserve"> la pobreza y la violencia. </w:t>
      </w:r>
    </w:p>
    <w:p w14:paraId="1F634B4F" w14:textId="337FA34B" w:rsidR="00614148" w:rsidRPr="00614148" w:rsidRDefault="00614148" w:rsidP="00D77CC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rPr>
          <w:rFonts w:ascii="Calibri" w:eastAsia="Calibri" w:hAnsi="Calibri"/>
          <w:szCs w:val="22"/>
          <w:bdr w:val="none" w:sz="0" w:space="0" w:color="auto" w:frame="1"/>
          <w:lang w:eastAsia="en-US"/>
        </w:rPr>
      </w:pPr>
    </w:p>
    <w:p w14:paraId="3F4CD277" w14:textId="12C2386E" w:rsidR="00614148" w:rsidRPr="00614148" w:rsidRDefault="00614148" w:rsidP="00D77CC5">
      <w:pPr>
        <w:widowControl/>
        <w:numPr>
          <w:ilvl w:val="0"/>
          <w:numId w:val="3"/>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after="160" w:line="360" w:lineRule="auto"/>
        <w:ind w:left="0" w:firstLine="720"/>
        <w:rPr>
          <w:color w:val="201F1E"/>
          <w:szCs w:val="22"/>
          <w:lang w:val="es-DO" w:eastAsia="en-US"/>
        </w:rPr>
      </w:pPr>
      <w:r w:rsidRPr="00614148">
        <w:rPr>
          <w:szCs w:val="22"/>
          <w:bdr w:val="none" w:sz="0" w:space="0" w:color="auto" w:frame="1"/>
          <w:lang w:eastAsia="en-US"/>
        </w:rPr>
        <w:t xml:space="preserve">Promover el papel de la OEA a través de </w:t>
      </w:r>
      <w:r w:rsidRPr="00614148">
        <w:rPr>
          <w:szCs w:val="22"/>
          <w:lang w:val="es-UY" w:eastAsia="en-US"/>
        </w:rPr>
        <w:t xml:space="preserve">la Secretaría General, </w:t>
      </w:r>
      <w:r w:rsidRPr="00614148">
        <w:rPr>
          <w:color w:val="201F1E"/>
          <w:szCs w:val="22"/>
          <w:lang w:val="es-DO" w:eastAsia="en-US"/>
        </w:rPr>
        <w:t xml:space="preserve">para colaborar </w:t>
      </w:r>
      <w:r w:rsidRPr="00614148">
        <w:rPr>
          <w:szCs w:val="22"/>
          <w:lang w:val="es-PR" w:eastAsia="en-US"/>
        </w:rPr>
        <w:t xml:space="preserve">con los Estados Miembros y otros socios pertinentes para determinar tendencias, desafíos, oportunidades, y vulnerabilidades, y </w:t>
      </w:r>
      <w:r w:rsidRPr="00614148">
        <w:rPr>
          <w:rFonts w:eastAsia="Calibri"/>
          <w:szCs w:val="22"/>
          <w:lang w:val="es-CO" w:eastAsia="en-US"/>
        </w:rPr>
        <w:t xml:space="preserve">proveer la asistencia técnica </w:t>
      </w:r>
      <w:r w:rsidRPr="00614148">
        <w:rPr>
          <w:szCs w:val="22"/>
          <w:lang w:val="es-UY" w:eastAsia="en-US"/>
        </w:rPr>
        <w:t xml:space="preserve">a los Estados </w:t>
      </w:r>
      <w:r w:rsidRPr="00614148">
        <w:rPr>
          <w:szCs w:val="22"/>
          <w:lang w:eastAsia="en-US"/>
        </w:rPr>
        <w:t>Miembros</w:t>
      </w:r>
      <w:r w:rsidRPr="00614148">
        <w:rPr>
          <w:szCs w:val="22"/>
          <w:lang w:val="es-UY" w:eastAsia="en-US"/>
        </w:rPr>
        <w:t xml:space="preserve"> en su labor de mejorar la capacidad nacional por el desarrollo sostenible. </w:t>
      </w:r>
    </w:p>
    <w:p w14:paraId="48654B91" w14:textId="3FFBA290" w:rsidR="00DA4933" w:rsidRPr="00A112FA" w:rsidRDefault="001F5F86" w:rsidP="00614148">
      <w:pPr>
        <w:pStyle w:val="NormalWeb"/>
        <w:shd w:val="clear" w:color="auto" w:fill="FFFFFF"/>
        <w:spacing w:before="0" w:beforeAutospacing="0" w:after="0" w:afterAutospacing="0" w:line="360" w:lineRule="auto"/>
        <w:jc w:val="both"/>
        <w:rPr>
          <w:color w:val="201F1E"/>
          <w:sz w:val="22"/>
          <w:szCs w:val="22"/>
          <w:lang w:val="es-MX"/>
        </w:rPr>
      </w:pPr>
      <w:r>
        <w:rPr>
          <w:noProof/>
        </w:rPr>
        <w:drawing>
          <wp:anchor distT="0" distB="0" distL="114300" distR="114300" simplePos="0" relativeHeight="251659264" behindDoc="0" locked="0" layoutInCell="1" allowOverlap="1" wp14:anchorId="18BF8237" wp14:editId="3398368B">
            <wp:simplePos x="0" y="0"/>
            <wp:positionH relativeFrom="margin">
              <wp:align>right</wp:align>
            </wp:positionH>
            <wp:positionV relativeFrom="margin">
              <wp:align>bottom</wp:align>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A112FA">
        <w:rPr>
          <w:noProof/>
          <w:color w:val="201F1E"/>
          <w:sz w:val="22"/>
          <w:szCs w:val="22"/>
          <w:lang w:val="es-MX"/>
        </w:rPr>
        <mc:AlternateContent>
          <mc:Choice Requires="wps">
            <w:drawing>
              <wp:anchor distT="0" distB="0" distL="114300" distR="114300" simplePos="0" relativeHeight="251657216" behindDoc="0" locked="1" layoutInCell="1" allowOverlap="1" wp14:anchorId="6A889D2D" wp14:editId="3266D33C">
                <wp:simplePos x="0" y="0"/>
                <wp:positionH relativeFrom="column">
                  <wp:posOffset>-72390</wp:posOffset>
                </wp:positionH>
                <wp:positionV relativeFrom="margin">
                  <wp:align>bottom</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A9C6E59" w14:textId="45C7C94A" w:rsidR="00A112FA" w:rsidRPr="00A112FA" w:rsidRDefault="00A112FA">
                            <w:pPr>
                              <w:rPr>
                                <w:sz w:val="18"/>
                              </w:rPr>
                            </w:pPr>
                            <w:r>
                              <w:rPr>
                                <w:sz w:val="18"/>
                              </w:rPr>
                              <w:fldChar w:fldCharType="begin"/>
                            </w:r>
                            <w:r>
                              <w:rPr>
                                <w:sz w:val="18"/>
                              </w:rPr>
                              <w:instrText xml:space="preserve"> FILENAME  \* MERGEFORMAT </w:instrText>
                            </w:r>
                            <w:r>
                              <w:rPr>
                                <w:sz w:val="18"/>
                              </w:rPr>
                              <w:fldChar w:fldCharType="separate"/>
                            </w:r>
                            <w:r w:rsidR="001F5F86">
                              <w:rPr>
                                <w:noProof/>
                                <w:sz w:val="18"/>
                              </w:rPr>
                              <w:t>AG08420S01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889D2D" id="_x0000_t202" coordsize="21600,21600" o:spt="202" path="m,l,21600r21600,l21600,xe">
                <v:stroke joinstyle="miter"/>
                <v:path gradientshapeok="t" o:connecttype="rect"/>
              </v:shapetype>
              <v:shape id="Text Box 1" o:spid="_x0000_s1026" type="#_x0000_t202" style="position:absolute;left:0;text-align:left;margin-left:-5.7pt;margin-top:0;width:266.4pt;height:18pt;z-index:251657216;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" filled="f" stroked="f">
                <v:stroke joinstyle="round"/>
                <v:textbox>
                  <w:txbxContent>
                    <w:p w14:paraId="4A9C6E59" w14:textId="45C7C94A" w:rsidR="00A112FA" w:rsidRPr="00A112FA" w:rsidRDefault="00A112FA">
                      <w:pPr>
                        <w:rPr>
                          <w:sz w:val="18"/>
                        </w:rPr>
                      </w:pPr>
                      <w:r>
                        <w:rPr>
                          <w:sz w:val="18"/>
                        </w:rPr>
                        <w:fldChar w:fldCharType="begin"/>
                      </w:r>
                      <w:r>
                        <w:rPr>
                          <w:sz w:val="18"/>
                        </w:rPr>
                        <w:instrText xml:space="preserve"> FILENAME  \* MERGEFORMAT </w:instrText>
                      </w:r>
                      <w:r>
                        <w:rPr>
                          <w:sz w:val="18"/>
                        </w:rPr>
                        <w:fldChar w:fldCharType="separate"/>
                      </w:r>
                      <w:r w:rsidR="001F5F86">
                        <w:rPr>
                          <w:noProof/>
                          <w:sz w:val="18"/>
                        </w:rPr>
                        <w:t>AG08420S01</w:t>
                      </w:r>
                      <w:r>
                        <w:rPr>
                          <w:sz w:val="18"/>
                        </w:rPr>
                        <w:fldChar w:fldCharType="end"/>
                      </w:r>
                    </w:p>
                  </w:txbxContent>
                </v:textbox>
                <w10:wrap anchory="margin"/>
                <w10:anchorlock/>
              </v:shape>
            </w:pict>
          </mc:Fallback>
        </mc:AlternateContent>
      </w:r>
    </w:p>
    <w:sectPr w:rsidR="00DA4933" w:rsidRPr="00A112FA" w:rsidSect="00046BDB">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27C3" w14:textId="77777777" w:rsidR="00FF3259" w:rsidRPr="00DA4933" w:rsidRDefault="00FF3259" w:rsidP="001A0418">
      <w:pPr>
        <w:rPr>
          <w:noProof/>
          <w:lang w:val="en-US"/>
        </w:rPr>
      </w:pPr>
      <w:r w:rsidRPr="00DA4933">
        <w:rPr>
          <w:noProof/>
          <w:lang w:val="en-US"/>
        </w:rPr>
        <w:separator/>
      </w:r>
    </w:p>
  </w:endnote>
  <w:endnote w:type="continuationSeparator" w:id="0">
    <w:p w14:paraId="188B5F9F" w14:textId="77777777" w:rsidR="00FF3259" w:rsidRPr="00DA4933" w:rsidRDefault="00FF3259" w:rsidP="001A0418">
      <w:pPr>
        <w:rPr>
          <w:noProof/>
          <w:lang w:val="en-US"/>
        </w:rPr>
      </w:pPr>
      <w:r w:rsidRPr="00DA493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36AE" w14:textId="77777777" w:rsidR="00FF3259" w:rsidRPr="00DA4933" w:rsidRDefault="00FF3259" w:rsidP="001A0418">
      <w:pPr>
        <w:rPr>
          <w:noProof/>
          <w:lang w:val="en-US"/>
        </w:rPr>
      </w:pPr>
      <w:r w:rsidRPr="00DA4933">
        <w:rPr>
          <w:noProof/>
          <w:lang w:val="en-US"/>
        </w:rPr>
        <w:separator/>
      </w:r>
    </w:p>
  </w:footnote>
  <w:footnote w:type="continuationSeparator" w:id="0">
    <w:p w14:paraId="2E63E3FC" w14:textId="77777777" w:rsidR="00FF3259" w:rsidRPr="00DA4933" w:rsidRDefault="00FF3259" w:rsidP="001A0418">
      <w:pPr>
        <w:rPr>
          <w:noProof/>
          <w:lang w:val="en-US"/>
        </w:rPr>
      </w:pPr>
      <w:r w:rsidRPr="00DA493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96773"/>
      <w:docPartObj>
        <w:docPartGallery w:val="Page Numbers (Top of Page)"/>
        <w:docPartUnique/>
      </w:docPartObj>
    </w:sdtPr>
    <w:sdtEndPr>
      <w:rPr>
        <w:noProof/>
      </w:rPr>
    </w:sdtEndPr>
    <w:sdtContent>
      <w:p w14:paraId="73368DCC" w14:textId="3DF0B5C9" w:rsidR="00046BDB" w:rsidRDefault="00046BDB">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87BB2D3" w14:textId="77777777" w:rsidR="00A112FA" w:rsidRDefault="00A112FA" w:rsidP="00046B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62C"/>
    <w:multiLevelType w:val="hybridMultilevel"/>
    <w:tmpl w:val="959E5E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C0A5DF1"/>
    <w:multiLevelType w:val="hybridMultilevel"/>
    <w:tmpl w:val="85B291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hyphenationZone w:val="425"/>
  <w:doNotHyphenateCaps/>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3A1440-EE58-45A3-9E4B-7B5008A15C05}"/>
    <w:docVar w:name="dgnword-eventsink" w:val="1870637502160"/>
  </w:docVars>
  <w:rsids>
    <w:rsidRoot w:val="004A75B2"/>
    <w:rsid w:val="00046BDB"/>
    <w:rsid w:val="000545A0"/>
    <w:rsid w:val="0005499B"/>
    <w:rsid w:val="00162FDE"/>
    <w:rsid w:val="001A0418"/>
    <w:rsid w:val="001E3184"/>
    <w:rsid w:val="001F5F86"/>
    <w:rsid w:val="00250EE7"/>
    <w:rsid w:val="00256D9B"/>
    <w:rsid w:val="002E6073"/>
    <w:rsid w:val="00373FD3"/>
    <w:rsid w:val="003E45C3"/>
    <w:rsid w:val="00425B33"/>
    <w:rsid w:val="004A75B2"/>
    <w:rsid w:val="00507111"/>
    <w:rsid w:val="00510F2B"/>
    <w:rsid w:val="00563E06"/>
    <w:rsid w:val="00614148"/>
    <w:rsid w:val="00625E93"/>
    <w:rsid w:val="0064176D"/>
    <w:rsid w:val="006D79E4"/>
    <w:rsid w:val="006E0DC7"/>
    <w:rsid w:val="006E505D"/>
    <w:rsid w:val="00797A51"/>
    <w:rsid w:val="007E4A12"/>
    <w:rsid w:val="008316F3"/>
    <w:rsid w:val="008E6962"/>
    <w:rsid w:val="00947882"/>
    <w:rsid w:val="009867B2"/>
    <w:rsid w:val="009C0FE8"/>
    <w:rsid w:val="009F5B23"/>
    <w:rsid w:val="00A112FA"/>
    <w:rsid w:val="00A11EE4"/>
    <w:rsid w:val="00A5242B"/>
    <w:rsid w:val="00AB5331"/>
    <w:rsid w:val="00B12F78"/>
    <w:rsid w:val="00B555EB"/>
    <w:rsid w:val="00BA0A70"/>
    <w:rsid w:val="00BD6258"/>
    <w:rsid w:val="00BE562D"/>
    <w:rsid w:val="00BF5774"/>
    <w:rsid w:val="00C10F4C"/>
    <w:rsid w:val="00C640AC"/>
    <w:rsid w:val="00C66B45"/>
    <w:rsid w:val="00C74FBB"/>
    <w:rsid w:val="00D26022"/>
    <w:rsid w:val="00D77CC5"/>
    <w:rsid w:val="00DA4933"/>
    <w:rsid w:val="00DC2788"/>
    <w:rsid w:val="00E04604"/>
    <w:rsid w:val="00E37A19"/>
    <w:rsid w:val="00E4796E"/>
    <w:rsid w:val="00E60C2A"/>
    <w:rsid w:val="00EB5E30"/>
    <w:rsid w:val="00EE2253"/>
    <w:rsid w:val="00F12F9B"/>
    <w:rsid w:val="00F151F2"/>
    <w:rsid w:val="00FF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es-ES"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es-ES" w:eastAsia="es-ES"/>
    </w:rPr>
  </w:style>
  <w:style w:type="paragraph" w:styleId="ListParagraph">
    <w:name w:val="List Paragraph"/>
    <w:basedOn w:val="Normal"/>
    <w:uiPriority w:val="34"/>
    <w:qFormat/>
    <w:rsid w:val="00BD6258"/>
    <w:pPr>
      <w:ind w:left="720"/>
      <w:contextualSpacing/>
    </w:pPr>
  </w:style>
  <w:style w:type="paragraph" w:customStyle="1" w:styleId="wordsection1">
    <w:name w:val="wordsection1"/>
    <w:basedOn w:val="Normal"/>
    <w:uiPriority w:val="99"/>
    <w:rsid w:val="00BE5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sz w:val="24"/>
      <w:szCs w:val="24"/>
      <w:lang w:eastAsia="en-US"/>
    </w:rPr>
  </w:style>
  <w:style w:type="paragraph" w:styleId="NormalWeb">
    <w:name w:val="Normal (Web)"/>
    <w:basedOn w:val="Normal"/>
    <w:uiPriority w:val="99"/>
    <w:unhideWhenUsed/>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 w:type="paragraph" w:customStyle="1" w:styleId="xmsonormal">
    <w:name w:val="x_msonormal"/>
    <w:basedOn w:val="Normal"/>
    <w:uiPriority w:val="99"/>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4180">
      <w:bodyDiv w:val="1"/>
      <w:marLeft w:val="0"/>
      <w:marRight w:val="0"/>
      <w:marTop w:val="0"/>
      <w:marBottom w:val="0"/>
      <w:divBdr>
        <w:top w:val="none" w:sz="0" w:space="0" w:color="auto"/>
        <w:left w:val="none" w:sz="0" w:space="0" w:color="auto"/>
        <w:bottom w:val="none" w:sz="0" w:space="0" w:color="auto"/>
        <w:right w:val="none" w:sz="0" w:space="0" w:color="auto"/>
      </w:divBdr>
    </w:div>
    <w:div w:id="656224305">
      <w:bodyDiv w:val="1"/>
      <w:marLeft w:val="0"/>
      <w:marRight w:val="0"/>
      <w:marTop w:val="0"/>
      <w:marBottom w:val="0"/>
      <w:divBdr>
        <w:top w:val="none" w:sz="0" w:space="0" w:color="auto"/>
        <w:left w:val="none" w:sz="0" w:space="0" w:color="auto"/>
        <w:bottom w:val="none" w:sz="0" w:space="0" w:color="auto"/>
        <w:right w:val="none" w:sz="0" w:space="0" w:color="auto"/>
      </w:divBdr>
    </w:div>
    <w:div w:id="1009335726">
      <w:bodyDiv w:val="1"/>
      <w:marLeft w:val="0"/>
      <w:marRight w:val="0"/>
      <w:marTop w:val="0"/>
      <w:marBottom w:val="0"/>
      <w:divBdr>
        <w:top w:val="none" w:sz="0" w:space="0" w:color="auto"/>
        <w:left w:val="none" w:sz="0" w:space="0" w:color="auto"/>
        <w:bottom w:val="none" w:sz="0" w:space="0" w:color="auto"/>
        <w:right w:val="none" w:sz="0" w:space="0" w:color="auto"/>
      </w:divBdr>
    </w:div>
    <w:div w:id="1194466017">
      <w:bodyDiv w:val="1"/>
      <w:marLeft w:val="0"/>
      <w:marRight w:val="0"/>
      <w:marTop w:val="0"/>
      <w:marBottom w:val="0"/>
      <w:divBdr>
        <w:top w:val="none" w:sz="0" w:space="0" w:color="auto"/>
        <w:left w:val="none" w:sz="0" w:space="0" w:color="auto"/>
        <w:bottom w:val="none" w:sz="0" w:space="0" w:color="auto"/>
        <w:right w:val="none" w:sz="0" w:space="0" w:color="auto"/>
      </w:divBdr>
    </w:div>
    <w:div w:id="1317106701">
      <w:bodyDiv w:val="1"/>
      <w:marLeft w:val="0"/>
      <w:marRight w:val="0"/>
      <w:marTop w:val="0"/>
      <w:marBottom w:val="0"/>
      <w:divBdr>
        <w:top w:val="none" w:sz="0" w:space="0" w:color="auto"/>
        <w:left w:val="none" w:sz="0" w:space="0" w:color="auto"/>
        <w:bottom w:val="none" w:sz="0" w:space="0" w:color="auto"/>
        <w:right w:val="none" w:sz="0" w:space="0" w:color="auto"/>
      </w:divBdr>
    </w:div>
    <w:div w:id="1722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Aristizabal, Alejandro</dc:creator>
  <cp:lastModifiedBy>Mayorga, Georgina</cp:lastModifiedBy>
  <cp:revision>5</cp:revision>
  <cp:lastPrinted>2021-11-10T12:12:00Z</cp:lastPrinted>
  <dcterms:created xsi:type="dcterms:W3CDTF">2021-11-11T15:11:00Z</dcterms:created>
  <dcterms:modified xsi:type="dcterms:W3CDTF">2021-11-11T15:15:00Z</dcterms:modified>
</cp:coreProperties>
</file>